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23" w:rsidRPr="006E021B" w:rsidRDefault="00B07223" w:rsidP="00B07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</w:pPr>
      <w:r w:rsidRPr="006E021B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 xml:space="preserve">ข้อเสนอโครงการในแผนปฏิบัติการประจำปี </w:t>
      </w:r>
      <w:r w:rsidRPr="006E021B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  <w:t xml:space="preserve">2567 </w:t>
      </w:r>
      <w:r w:rsidRPr="006E021B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>คณะรัฐศาสตร์และสังคมศาสตร์</w:t>
      </w:r>
    </w:p>
    <w:p w:rsidR="00B07223" w:rsidRPr="006E021B" w:rsidRDefault="00B07223" w:rsidP="00B072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</w:p>
    <w:p w:rsidR="00B07223" w:rsidRPr="009540FC" w:rsidRDefault="00B07223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</w:t>
      </w:r>
      <w:r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ชื่อโครงการ</w:t>
      </w:r>
    </w:p>
    <w:p w:rsidR="009540FC" w:rsidRPr="00B07223" w:rsidRDefault="009540FC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</w:p>
    <w:p w:rsidR="006E021B" w:rsidRPr="009540FC" w:rsidRDefault="006E021B" w:rsidP="006E021B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2</w:t>
      </w:r>
      <w:r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รหัสโครงการ</w:t>
      </w:r>
      <w:r w:rsid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</w:p>
    <w:p w:rsidR="009540FC" w:rsidRPr="009540FC" w:rsidRDefault="009540FC" w:rsidP="006E021B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3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</w:t>
      </w:r>
      <w:r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ผู้รับผิดชอบโครงการ</w:t>
      </w:r>
    </w:p>
    <w:p w:rsidR="00C00390" w:rsidRDefault="00C00390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C00390" w:rsidRPr="00C00390" w:rsidRDefault="00C00390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</w:pP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4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Pr="00C00390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หลักการและเหตุผล</w:t>
      </w:r>
      <w:r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</w:t>
      </w:r>
    </w:p>
    <w:p w:rsidR="009540FC" w:rsidRPr="00C00390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Pr="009540FC" w:rsidRDefault="00C00390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5</w:t>
      </w:r>
      <w:r w:rsidR="009540FC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วัตถุประสงค์โครงการ</w:t>
      </w:r>
    </w:p>
    <w:p w:rsidR="009540FC" w:rsidRPr="009540FC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Pr="009540FC" w:rsidRDefault="00C00390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6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9540FC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กลุ่มเป้าหมายโครงการ และระบุจำนวน</w:t>
      </w:r>
    </w:p>
    <w:p w:rsidR="009540FC" w:rsidRPr="00B07223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Pr="009540FC" w:rsidRDefault="00C00390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7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9540FC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ระยะเวลาในการดำเนินการ</w:t>
      </w:r>
    </w:p>
    <w:p w:rsidR="009540FC" w:rsidRPr="00B07223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Pr="009540FC" w:rsidRDefault="00C00390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8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9540FC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สถานที่ดำเนินโครงการ</w:t>
      </w:r>
    </w:p>
    <w:p w:rsidR="009540FC" w:rsidRPr="00B07223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Default="00C00390" w:rsidP="009540F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9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9540FC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9540FC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การใช้จ่ายงบประมาณ (งบที่ได้รับจัดสรร)</w:t>
      </w:r>
    </w:p>
    <w:tbl>
      <w:tblPr>
        <w:tblStyle w:val="TableGrid"/>
        <w:tblW w:w="9806" w:type="dxa"/>
        <w:tblInd w:w="-5" w:type="dxa"/>
        <w:tblLook w:val="04A0" w:firstRow="1" w:lastRow="0" w:firstColumn="1" w:lastColumn="0" w:noHBand="0" w:noVBand="1"/>
      </w:tblPr>
      <w:tblGrid>
        <w:gridCol w:w="3060"/>
        <w:gridCol w:w="1305"/>
        <w:gridCol w:w="1305"/>
        <w:gridCol w:w="1305"/>
        <w:gridCol w:w="1305"/>
        <w:gridCol w:w="1526"/>
      </w:tblGrid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รายการ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จำนวน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หน่วยนับ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ราคา/หน่วย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รวมเป็นเงิน</w:t>
            </w: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หมายเหตุ</w:t>
            </w:r>
          </w:p>
        </w:tc>
      </w:tr>
      <w:tr w:rsidR="005830D8" w:rsidRPr="005830D8" w:rsidTr="005830D8">
        <w:tc>
          <w:tcPr>
            <w:tcW w:w="9806" w:type="dxa"/>
            <w:gridSpan w:val="6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หมวดค่าใช้สอย รวมทั้งสิ้น............................บาท</w:t>
            </w: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ค่าอาหารว่างและเครื่องดื่ม (บุคลากร)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5830D8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ค่าอาหารว่างและเครื่องดื่ม (นิสิต)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ค่าที่พัก</w:t>
            </w: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ab/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ค่าเบี้ยเลี้ยง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เงินเพิ่มพิเศษพนักงานขับรถ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jc w:val="both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ค่าลงทะเบียน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9806" w:type="dxa"/>
            <w:gridSpan w:val="6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หมวดค่าตอบแทน รวมทั้งสิ้น..........................................บาท</w:t>
            </w: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ค่าตอบแทนวิทยากร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ค่าตอบแทนคณะกรรมการ</w:t>
            </w: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ab/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ค่าจ้างนิสิตช่วยงาน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ค่าปฏิบัติงานนอกเวลาทำการ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9806" w:type="dxa"/>
            <w:gridSpan w:val="6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b/>
                <w:bCs/>
                <w:i/>
                <w:i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หมวดจัดซื้อจัดจ้าง </w:t>
            </w:r>
            <w:r w:rsidRPr="005830D8">
              <w:rPr>
                <w:rFonts w:ascii="TH SarabunPSK" w:hAnsi="TH SarabunPSK" w:cs="TH SarabunPSK"/>
                <w:b/>
                <w:bCs/>
                <w:i/>
                <w:iCs/>
                <w:spacing w:val="-6"/>
                <w:sz w:val="28"/>
                <w:cs/>
              </w:rPr>
              <w:t>(หากมี จำเป็นจะต้องระบุไว้ล่วงหน้าเพื่อดำเนินการบรรจุลงไว้ในแผนจัดซื้อจัดจ้างคณะ)</w:t>
            </w:r>
          </w:p>
          <w:p w:rsidR="005830D8" w:rsidRPr="005830D8" w:rsidRDefault="005830D8" w:rsidP="002D78A1">
            <w:pPr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                           รวมทั้งสิ้น...............</w:t>
            </w:r>
            <w:r w:rsidRPr="005830D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.................บาท</w:t>
            </w: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ค่าถ่ายเอกสาร</w:t>
            </w:r>
            <w:r w:rsidRPr="005830D8">
              <w:rPr>
                <w:rFonts w:ascii="TH SarabunPSK" w:hAnsi="TH SarabunPSK" w:cs="TH SarabunPSK"/>
                <w:spacing w:val="-6"/>
                <w:sz w:val="28"/>
              </w:rPr>
              <w:tab/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ค่าวัสดุที่ใช้ในโครงการ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บาท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ค่าเช่าเหมารถพร้อมน้ำมันเชื้อเพลิง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ค่าของที่ระลึก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ค่าเช่าห้องประชุม</w:t>
            </w: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ab/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3060" w:type="dxa"/>
          </w:tcPr>
          <w:p w:rsidR="005830D8" w:rsidRPr="005830D8" w:rsidRDefault="005830D8" w:rsidP="002D78A1">
            <w:pPr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830D8">
              <w:rPr>
                <w:rFonts w:ascii="TH SarabunPSK" w:hAnsi="TH SarabunPSK" w:cs="TH SarabunPSK"/>
                <w:spacing w:val="-6"/>
                <w:sz w:val="28"/>
                <w:cs/>
              </w:rPr>
              <w:t>ของแจกในโครงการ</w:t>
            </w: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05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526" w:type="dxa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5830D8" w:rsidRPr="005830D8" w:rsidTr="005830D8">
        <w:tc>
          <w:tcPr>
            <w:tcW w:w="9806" w:type="dxa"/>
            <w:gridSpan w:val="6"/>
          </w:tcPr>
          <w:p w:rsidR="005830D8" w:rsidRPr="005830D8" w:rsidRDefault="005830D8" w:rsidP="002D78A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5830D8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รวมทั้งสิ้น..............................10,000................................บาท (รวมทุกหมวด)</w:t>
            </w:r>
          </w:p>
        </w:tc>
      </w:tr>
    </w:tbl>
    <w:p w:rsidR="005830D8" w:rsidRPr="005830D8" w:rsidRDefault="005830D8" w:rsidP="005830D8">
      <w:pPr>
        <w:spacing w:after="0" w:line="240" w:lineRule="auto"/>
        <w:ind w:left="720"/>
        <w:rPr>
          <w:rFonts w:ascii="TH SarabunPSK" w:hAnsi="TH SarabunPSK" w:cs="TH SarabunPSK"/>
          <w:b/>
          <w:bCs/>
          <w:spacing w:val="-6"/>
          <w:sz w:val="28"/>
        </w:rPr>
      </w:pPr>
      <w:r w:rsidRPr="005830D8">
        <w:rPr>
          <w:rFonts w:ascii="TH SarabunPSK" w:hAnsi="TH SarabunPSK" w:cs="TH SarabunPSK"/>
          <w:b/>
          <w:bCs/>
          <w:spacing w:val="-6"/>
          <w:sz w:val="28"/>
          <w:cs/>
        </w:rPr>
        <w:t>*หมายเหตุ ทุกรายการสามารถถัวเฉลี่ยกันได้</w:t>
      </w:r>
    </w:p>
    <w:p w:rsidR="005830D8" w:rsidRPr="005830D8" w:rsidRDefault="005830D8" w:rsidP="009540FC">
      <w:pPr>
        <w:spacing w:after="0" w:line="240" w:lineRule="auto"/>
        <w:rPr>
          <w:rFonts w:ascii="TH SarabunPSK" w:eastAsia="Times New Roman" w:hAnsi="TH SarabunPSK" w:cs="TH SarabunPSK" w:hint="cs"/>
          <w:color w:val="242424"/>
          <w:kern w:val="0"/>
          <w:sz w:val="28"/>
          <w14:ligatures w14:val="none"/>
        </w:rPr>
      </w:pPr>
    </w:p>
    <w:p w:rsidR="009540FC" w:rsidRPr="009540FC" w:rsidRDefault="009540FC" w:rsidP="009540FC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9540FC" w:rsidRPr="00D0200E" w:rsidRDefault="00C00390" w:rsidP="006E021B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lastRenderedPageBreak/>
        <w:t>10</w:t>
      </w:r>
      <w:r w:rsidR="009540FC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ค่าเป้าหมายความสำเร็จของโครงการ </w:t>
      </w:r>
      <w:r w:rsidR="009540FC" w:rsidRPr="00D0200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( โปรดระบุตัว</w:t>
      </w:r>
      <w:bookmarkStart w:id="0" w:name="_GoBack"/>
      <w:bookmarkEnd w:id="0"/>
      <w:r w:rsidR="009540FC" w:rsidRPr="00D0200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เลข </w:t>
      </w:r>
      <w:r w:rsidR="009540FC" w:rsidRPr="00D0200E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>'</w:t>
      </w:r>
      <w:r w:rsidR="009540FC" w:rsidRPr="00D0200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ร้อยละ</w:t>
      </w:r>
      <w:r w:rsidR="009540FC" w:rsidRPr="00D0200E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' </w:t>
      </w:r>
      <w:r w:rsidR="009540FC" w:rsidRPr="00D0200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)</w:t>
      </w:r>
    </w:p>
    <w:p w:rsidR="009540FC" w:rsidRDefault="009540FC" w:rsidP="006E021B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C00390" w:rsidRPr="00C00390" w:rsidRDefault="00C00390" w:rsidP="006E021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11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Pr="00C00390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ผลลัพธ์ที่คาดว่าจะได้รับ</w:t>
      </w:r>
    </w:p>
    <w:p w:rsidR="00C00390" w:rsidRPr="00C00390" w:rsidRDefault="00C00390" w:rsidP="00C00390">
      <w:pPr>
        <w:spacing w:after="0" w:line="240" w:lineRule="auto"/>
        <w:ind w:firstLine="720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11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Pr="00C00390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เชิงปริมาณ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</w:p>
    <w:p w:rsidR="00C00390" w:rsidRPr="00C00390" w:rsidRDefault="00C00390" w:rsidP="00C0039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C00390" w:rsidRPr="00C00390" w:rsidRDefault="00C00390" w:rsidP="00C00390">
      <w:pPr>
        <w:spacing w:after="0" w:line="240" w:lineRule="auto"/>
        <w:ind w:firstLine="720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11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P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 xml:space="preserve">2 </w:t>
      </w:r>
      <w:r w:rsidRPr="00C00390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เชิงคุณภาพ </w:t>
      </w:r>
    </w:p>
    <w:p w:rsidR="00C00390" w:rsidRPr="00C00390" w:rsidRDefault="00C00390" w:rsidP="00C0039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C00390" w:rsidRDefault="00C00390" w:rsidP="00C0039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12</w:t>
      </w: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แผนการดำเนินงาน</w:t>
      </w:r>
    </w:p>
    <w:tbl>
      <w:tblPr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3"/>
        <w:gridCol w:w="537"/>
        <w:gridCol w:w="545"/>
        <w:gridCol w:w="530"/>
        <w:gridCol w:w="542"/>
        <w:gridCol w:w="552"/>
        <w:gridCol w:w="573"/>
        <w:gridCol w:w="608"/>
        <w:gridCol w:w="630"/>
        <w:gridCol w:w="624"/>
        <w:gridCol w:w="573"/>
        <w:gridCol w:w="573"/>
        <w:gridCol w:w="570"/>
      </w:tblGrid>
      <w:tr w:rsidR="00C00390" w:rsidRPr="00C00390" w:rsidTr="00C00390">
        <w:trPr>
          <w:trHeight w:val="319"/>
        </w:trPr>
        <w:tc>
          <w:tcPr>
            <w:tcW w:w="3313" w:type="dxa"/>
            <w:vMerge w:val="restart"/>
            <w:shd w:val="clear" w:color="auto" w:fill="auto"/>
            <w:vAlign w:val="center"/>
          </w:tcPr>
          <w:p w:rsidR="00C00390" w:rsidRPr="00C00390" w:rsidRDefault="00C00390" w:rsidP="00DF398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0039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6857" w:type="dxa"/>
            <w:gridSpan w:val="12"/>
            <w:shd w:val="clear" w:color="auto" w:fill="auto"/>
          </w:tcPr>
          <w:p w:rsidR="00C00390" w:rsidRPr="00C00390" w:rsidRDefault="00C00390" w:rsidP="00DF398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00390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2567</w:t>
            </w:r>
          </w:p>
        </w:tc>
      </w:tr>
      <w:tr w:rsidR="00C00390" w:rsidRPr="00C00390" w:rsidTr="00C00390">
        <w:trPr>
          <w:trHeight w:val="143"/>
        </w:trPr>
        <w:tc>
          <w:tcPr>
            <w:tcW w:w="3313" w:type="dxa"/>
            <w:vMerge/>
            <w:shd w:val="clear" w:color="auto" w:fill="auto"/>
          </w:tcPr>
          <w:p w:rsidR="00C00390" w:rsidRPr="00C00390" w:rsidRDefault="00C00390" w:rsidP="00DF398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ต.ค.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พ.ย.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ธ.ค.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ม.ค.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ก.พ.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มี.ค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เม.ย.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พ.ค.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มิ.ย.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ก.ค.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ส.ค.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ก.ย.</w:t>
            </w:r>
          </w:p>
        </w:tc>
      </w:tr>
      <w:tr w:rsidR="00C00390" w:rsidRPr="00C00390" w:rsidTr="00C00390">
        <w:trPr>
          <w:trHeight w:val="180"/>
        </w:trPr>
        <w:tc>
          <w:tcPr>
            <w:tcW w:w="3313" w:type="dxa"/>
            <w:shd w:val="clear" w:color="auto" w:fill="auto"/>
          </w:tcPr>
          <w:p w:rsidR="00C00390" w:rsidRPr="00C00390" w:rsidRDefault="00C00390" w:rsidP="00DF398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วางแผนงาน (</w:t>
            </w:r>
            <w:r w:rsidRPr="00C00390">
              <w:rPr>
                <w:rFonts w:ascii="TH SarabunPSK" w:hAnsi="TH SarabunPSK" w:cs="TH SarabunPSK"/>
                <w:color w:val="000000"/>
                <w:sz w:val="26"/>
                <w:szCs w:val="26"/>
              </w:rPr>
              <w:t>P</w:t>
            </w:r>
            <w:r w:rsidRPr="00C0039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537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00390" w:rsidRPr="00C00390" w:rsidTr="00C00390">
        <w:trPr>
          <w:trHeight w:val="208"/>
        </w:trPr>
        <w:tc>
          <w:tcPr>
            <w:tcW w:w="3313" w:type="dxa"/>
            <w:shd w:val="clear" w:color="auto" w:fill="auto"/>
          </w:tcPr>
          <w:p w:rsidR="00C00390" w:rsidRPr="00C00390" w:rsidRDefault="00C00390" w:rsidP="00DF398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ดำเนินการ(</w:t>
            </w:r>
            <w:r w:rsidRPr="00C00390">
              <w:rPr>
                <w:rFonts w:ascii="TH SarabunPSK" w:hAnsi="TH SarabunPSK" w:cs="TH SarabunPSK"/>
                <w:sz w:val="26"/>
                <w:szCs w:val="26"/>
              </w:rPr>
              <w:t>D</w:t>
            </w: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537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00390" w:rsidRPr="00C00390" w:rsidTr="00C00390">
        <w:trPr>
          <w:trHeight w:val="319"/>
        </w:trPr>
        <w:tc>
          <w:tcPr>
            <w:tcW w:w="3313" w:type="dxa"/>
            <w:shd w:val="clear" w:color="auto" w:fill="auto"/>
          </w:tcPr>
          <w:p w:rsidR="00C00390" w:rsidRPr="00C00390" w:rsidRDefault="00C00390" w:rsidP="00DF398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6"/>
                <w:szCs w:val="26"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สรุปและประเมินผล (</w:t>
            </w:r>
            <w:r w:rsidRPr="00C00390">
              <w:rPr>
                <w:rFonts w:ascii="TH SarabunPSK" w:hAnsi="TH SarabunPSK" w:cs="TH SarabunPSK"/>
                <w:sz w:val="26"/>
                <w:szCs w:val="26"/>
              </w:rPr>
              <w:t>C</w:t>
            </w: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537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00390" w:rsidRPr="00C00390" w:rsidTr="00C00390">
        <w:trPr>
          <w:trHeight w:val="280"/>
        </w:trPr>
        <w:tc>
          <w:tcPr>
            <w:tcW w:w="3313" w:type="dxa"/>
            <w:shd w:val="clear" w:color="auto" w:fill="auto"/>
          </w:tcPr>
          <w:p w:rsidR="00C00390" w:rsidRPr="00C00390" w:rsidRDefault="00C00390" w:rsidP="00DF398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การนำผลการประเมินไปปรับปรุงโครงการ (</w:t>
            </w:r>
            <w:r w:rsidRPr="00C00390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C00390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537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shd w:val="clear" w:color="auto" w:fill="auto"/>
          </w:tcPr>
          <w:p w:rsidR="00C00390" w:rsidRPr="00C00390" w:rsidRDefault="00C00390" w:rsidP="00C00390">
            <w:pPr>
              <w:spacing w:after="0" w:line="240" w:lineRule="auto"/>
              <w:ind w:left="-20" w:right="-20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00390" w:rsidRPr="00C00390" w:rsidRDefault="00C00390" w:rsidP="00C0039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</w:p>
    <w:p w:rsidR="00B07223" w:rsidRPr="00086FDB" w:rsidRDefault="009540FC" w:rsidP="00B0722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3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B07223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ประเด็นยุทธศาสตร์มหาวิทยาลัยพะเยา</w:t>
      </w:r>
      <w:r w:rsidR="00086FDB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</w:t>
      </w:r>
      <w:r w:rsidR="00086FDB" w:rsidRP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ประเด็นที่</w:t>
      </w:r>
      <w:r w:rsid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เลือก</w:t>
      </w:r>
    </w:p>
    <w:tbl>
      <w:tblPr>
        <w:tblStyle w:val="TableGrid"/>
        <w:tblW w:w="10239" w:type="dxa"/>
        <w:tblInd w:w="-5" w:type="dxa"/>
        <w:tblLook w:val="04A0" w:firstRow="1" w:lastRow="0" w:firstColumn="1" w:lastColumn="0" w:noHBand="0" w:noVBand="1"/>
      </w:tblPr>
      <w:tblGrid>
        <w:gridCol w:w="644"/>
        <w:gridCol w:w="9595"/>
      </w:tblGrid>
      <w:tr w:rsidR="006E021B" w:rsidRPr="009540FC" w:rsidTr="00D0200E">
        <w:trPr>
          <w:trHeight w:val="133"/>
          <w:tblHeader/>
        </w:trPr>
        <w:tc>
          <w:tcPr>
            <w:tcW w:w="644" w:type="dxa"/>
            <w:shd w:val="clear" w:color="auto" w:fill="DEEAF6" w:themeFill="accent5" w:themeFillTint="33"/>
          </w:tcPr>
          <w:p w:rsidR="006E021B" w:rsidRPr="009540FC" w:rsidRDefault="006E021B" w:rsidP="006E021B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เลือก</w:t>
            </w:r>
          </w:p>
        </w:tc>
        <w:tc>
          <w:tcPr>
            <w:tcW w:w="9595" w:type="dxa"/>
            <w:shd w:val="clear" w:color="auto" w:fill="DEEAF6" w:themeFill="accent5" w:themeFillTint="33"/>
          </w:tcPr>
          <w:p w:rsidR="006E021B" w:rsidRPr="009540FC" w:rsidRDefault="006E021B" w:rsidP="006E02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รายการ</w:t>
            </w:r>
          </w:p>
        </w:tc>
      </w:tr>
      <w:tr w:rsidR="006E021B" w:rsidTr="00D0200E">
        <w:trPr>
          <w:trHeight w:val="133"/>
        </w:trPr>
        <w:tc>
          <w:tcPr>
            <w:tcW w:w="644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595" w:type="dxa"/>
          </w:tcPr>
          <w:p w:rsidR="006E021B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การเตรียมคนและเสริมสร้างศักยภาพคนให้มีสมรรถนะและทักษะแห่งอนาคต</w:t>
            </w:r>
          </w:p>
        </w:tc>
      </w:tr>
      <w:tr w:rsidR="006E021B" w:rsidTr="00D0200E">
        <w:trPr>
          <w:trHeight w:val="371"/>
        </w:trPr>
        <w:tc>
          <w:tcPr>
            <w:tcW w:w="644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595" w:type="dxa"/>
          </w:tcPr>
          <w:p w:rsidR="006E021B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ยุทธศาสตร์ที่ 2 การสร้างงานวิจัยและนวัตกรรมพัฒนาเศรษฐกิจสังคมและชุมชน</w:t>
            </w:r>
          </w:p>
        </w:tc>
      </w:tr>
      <w:tr w:rsidR="006E021B" w:rsidTr="00D0200E">
        <w:trPr>
          <w:trHeight w:val="371"/>
        </w:trPr>
        <w:tc>
          <w:tcPr>
            <w:tcW w:w="644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595" w:type="dxa"/>
          </w:tcPr>
          <w:p w:rsidR="006E021B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3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การบริการวิชาการและสร้างสรรค์พื้นที่การเรียนรู้เพื่อความเป็นอยู่ที่ดีทางสังคม</w:t>
            </w:r>
          </w:p>
        </w:tc>
      </w:tr>
      <w:tr w:rsidR="006E021B" w:rsidTr="00D0200E">
        <w:trPr>
          <w:trHeight w:val="359"/>
        </w:trPr>
        <w:tc>
          <w:tcPr>
            <w:tcW w:w="644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595" w:type="dxa"/>
          </w:tcPr>
          <w:p w:rsidR="006E021B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4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การส่งเสริมการทำนุบำรุงศิลปวัฒนธรรมเพื่อความเป็นไทยและเอกลักษณ์ของชาติ</w:t>
            </w:r>
          </w:p>
        </w:tc>
      </w:tr>
      <w:tr w:rsidR="006E021B" w:rsidTr="00D0200E">
        <w:trPr>
          <w:trHeight w:val="371"/>
        </w:trPr>
        <w:tc>
          <w:tcPr>
            <w:tcW w:w="644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595" w:type="dxa"/>
          </w:tcPr>
          <w:p w:rsidR="006E021B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5 </w:t>
            </w:r>
            <w:r w:rsidRPr="006E021B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การพัฒนาระบบบริหารจัดการที่ทันสมัย มีประสิทธิภาพ และมีธรรมภิบาล</w:t>
            </w:r>
          </w:p>
        </w:tc>
      </w:tr>
    </w:tbl>
    <w:p w:rsidR="009540FC" w:rsidRDefault="009540FC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</w:p>
    <w:p w:rsidR="00CA006C" w:rsidRDefault="00CA006C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</w:p>
    <w:p w:rsidR="00CA006C" w:rsidRDefault="00CA006C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</w:p>
    <w:p w:rsidR="00B07223" w:rsidRPr="00086FDB" w:rsidRDefault="009540FC" w:rsidP="00B0722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4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B07223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ประเด็นยุทธศาสตร์คณะรัฐศาสตร์และสังคมศาสตร์ มหาวิทยาลัยพะเยา</w:t>
      </w:r>
      <w:r w:rsidR="00086FDB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</w:t>
      </w:r>
      <w:r w:rsidR="00086FDB" w:rsidRP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ประเด็นที่</w:t>
      </w:r>
      <w:r w:rsid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เลือก</w:t>
      </w:r>
    </w:p>
    <w:tbl>
      <w:tblPr>
        <w:tblStyle w:val="TableGrid"/>
        <w:tblW w:w="10261" w:type="dxa"/>
        <w:tblInd w:w="-5" w:type="dxa"/>
        <w:tblLook w:val="04A0" w:firstRow="1" w:lastRow="0" w:firstColumn="1" w:lastColumn="0" w:noHBand="0" w:noVBand="1"/>
      </w:tblPr>
      <w:tblGrid>
        <w:gridCol w:w="645"/>
        <w:gridCol w:w="9616"/>
      </w:tblGrid>
      <w:tr w:rsidR="009540FC" w:rsidRPr="009540FC" w:rsidTr="00D0200E">
        <w:trPr>
          <w:trHeight w:val="122"/>
          <w:tblHeader/>
        </w:trPr>
        <w:tc>
          <w:tcPr>
            <w:tcW w:w="645" w:type="dxa"/>
            <w:shd w:val="clear" w:color="auto" w:fill="DEEAF6" w:themeFill="accent5" w:themeFillTint="33"/>
          </w:tcPr>
          <w:p w:rsidR="006E021B" w:rsidRPr="009540FC" w:rsidRDefault="006E021B" w:rsidP="00DF3987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เลือก</w:t>
            </w:r>
          </w:p>
        </w:tc>
        <w:tc>
          <w:tcPr>
            <w:tcW w:w="9616" w:type="dxa"/>
            <w:shd w:val="clear" w:color="auto" w:fill="DEEAF6" w:themeFill="accent5" w:themeFillTint="33"/>
          </w:tcPr>
          <w:p w:rsidR="006E021B" w:rsidRPr="009540FC" w:rsidRDefault="006E021B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รายการ</w:t>
            </w:r>
          </w:p>
        </w:tc>
      </w:tr>
      <w:tr w:rsidR="006E021B" w:rsidTr="00D0200E">
        <w:trPr>
          <w:trHeight w:val="122"/>
        </w:trPr>
        <w:tc>
          <w:tcPr>
            <w:tcW w:w="645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616" w:type="dxa"/>
          </w:tcPr>
          <w:p w:rsidR="006E021B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พัฒนากำลังคนให้ถึงพร้อมความรู้และทักษะในศตวรรษที่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21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ที่สามารถพัฒนาเป็นต้นแบบของรัฐ-พัฒน์นวัตกร เพื่อชุมชนสังคมได้</w:t>
            </w:r>
          </w:p>
        </w:tc>
      </w:tr>
      <w:tr w:rsidR="006E021B" w:rsidTr="00D0200E">
        <w:trPr>
          <w:trHeight w:val="339"/>
        </w:trPr>
        <w:tc>
          <w:tcPr>
            <w:tcW w:w="645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616" w:type="dxa"/>
          </w:tcPr>
          <w:p w:rsidR="006E021B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2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เชื่อมโยง/บูรณาการการวิจัยรัฐ-สังคมศาสตร์กับการพัฒนานวัตกรรมเศรษฐกิจ การเมืองและสังคม</w:t>
            </w:r>
          </w:p>
        </w:tc>
      </w:tr>
      <w:tr w:rsidR="006E021B" w:rsidTr="00D0200E">
        <w:trPr>
          <w:trHeight w:val="339"/>
        </w:trPr>
        <w:tc>
          <w:tcPr>
            <w:tcW w:w="645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616" w:type="dxa"/>
          </w:tcPr>
          <w:p w:rsidR="006E021B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3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พัฒนาพื้นที่แห่งการเรียนรู้ร่วมกันและขยายผลการบริการวิชาการเพื่อชุมชนหน่วยงานสังคมมวลชนเพิ่มขึ้น</w:t>
            </w:r>
          </w:p>
        </w:tc>
      </w:tr>
      <w:tr w:rsidR="006E021B" w:rsidTr="00D0200E">
        <w:trPr>
          <w:trHeight w:val="328"/>
        </w:trPr>
        <w:tc>
          <w:tcPr>
            <w:tcW w:w="645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616" w:type="dxa"/>
          </w:tcPr>
          <w:p w:rsidR="006E021B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4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สร้างสรรค์และพัฒนากิจกรรมและอัตลักษณ์นิสิตเพื่อสืบสานความเป็นไทยและส่งเสริมคุณค่าสู่สากล</w:t>
            </w:r>
          </w:p>
        </w:tc>
      </w:tr>
      <w:tr w:rsidR="006E021B" w:rsidTr="00D0200E">
        <w:trPr>
          <w:trHeight w:val="339"/>
        </w:trPr>
        <w:tc>
          <w:tcPr>
            <w:tcW w:w="645" w:type="dxa"/>
          </w:tcPr>
          <w:p w:rsidR="006E021B" w:rsidRDefault="006E021B" w:rsidP="00661FD4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9616" w:type="dxa"/>
          </w:tcPr>
          <w:p w:rsidR="006E021B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5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การบริหารจัดการอัจฉริยะอย่างมีส่วนร่วม เชื่อมั่นต่อกันและสร้างพลังของการสื่อสารสาธารณะ</w:t>
            </w:r>
          </w:p>
        </w:tc>
      </w:tr>
    </w:tbl>
    <w:p w:rsidR="006E021B" w:rsidRPr="00B07223" w:rsidRDefault="006E021B" w:rsidP="00B0722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B07223" w:rsidRPr="009540FC" w:rsidRDefault="009540FC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5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B07223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เป้าหมายการพัฒนาที่ยั่งยืน (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SDGs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)</w:t>
      </w:r>
      <w:r w:rsidR="00086FDB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</w:t>
      </w:r>
      <w:r w:rsidR="00086FDB" w:rsidRP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ประเด็นที่</w:t>
      </w:r>
      <w:r w:rsid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เลือก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65"/>
        <w:gridCol w:w="4694"/>
        <w:gridCol w:w="666"/>
        <w:gridCol w:w="4230"/>
      </w:tblGrid>
      <w:tr w:rsidR="00661FD4" w:rsidRPr="009540FC" w:rsidTr="00D0200E">
        <w:trPr>
          <w:trHeight w:val="316"/>
          <w:tblHeader/>
        </w:trPr>
        <w:tc>
          <w:tcPr>
            <w:tcW w:w="665" w:type="dxa"/>
            <w:shd w:val="clear" w:color="auto" w:fill="DEEAF6" w:themeFill="accent5" w:themeFillTint="33"/>
          </w:tcPr>
          <w:p w:rsidR="00661FD4" w:rsidRPr="009540FC" w:rsidRDefault="00661FD4" w:rsidP="00661F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เลือก</w:t>
            </w:r>
          </w:p>
        </w:tc>
        <w:tc>
          <w:tcPr>
            <w:tcW w:w="4694" w:type="dxa"/>
            <w:shd w:val="clear" w:color="auto" w:fill="DEEAF6" w:themeFill="accent5" w:themeFillTint="33"/>
          </w:tcPr>
          <w:p w:rsidR="00661FD4" w:rsidRPr="009540FC" w:rsidRDefault="00661FD4" w:rsidP="00661F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รายการ</w:t>
            </w:r>
          </w:p>
        </w:tc>
        <w:tc>
          <w:tcPr>
            <w:tcW w:w="666" w:type="dxa"/>
            <w:shd w:val="clear" w:color="auto" w:fill="DEEAF6" w:themeFill="accent5" w:themeFillTint="33"/>
          </w:tcPr>
          <w:p w:rsidR="00661FD4" w:rsidRPr="009540FC" w:rsidRDefault="00661FD4" w:rsidP="00661F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เลือก</w:t>
            </w:r>
          </w:p>
        </w:tc>
        <w:tc>
          <w:tcPr>
            <w:tcW w:w="4230" w:type="dxa"/>
            <w:shd w:val="clear" w:color="auto" w:fill="DEEAF6" w:themeFill="accent5" w:themeFillTint="33"/>
          </w:tcPr>
          <w:p w:rsidR="00661FD4" w:rsidRPr="009540FC" w:rsidRDefault="00661FD4" w:rsidP="00661F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รายการ</w:t>
            </w:r>
          </w:p>
        </w:tc>
      </w:tr>
      <w:tr w:rsidR="00661FD4" w:rsidTr="00D0200E">
        <w:trPr>
          <w:trHeight w:val="327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ขจัดความยากจน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10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ลดความเหลื่อมล้ำ ไม่เสมอภาค</w:t>
            </w:r>
          </w:p>
        </w:tc>
      </w:tr>
      <w:tr w:rsidR="00661FD4" w:rsidTr="00D0200E">
        <w:trPr>
          <w:trHeight w:val="316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02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ขจัดความหิวโหย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เมืองและชุมชนยั่งยืน</w:t>
            </w:r>
          </w:p>
        </w:tc>
      </w:tr>
      <w:tr w:rsidR="00661FD4" w:rsidTr="00D0200E">
        <w:trPr>
          <w:trHeight w:val="327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03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การมีสุขภาพและการเป็นอยู่ที่ดี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12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การผลิตและบริโภคที่รับผิดชอบ</w:t>
            </w:r>
          </w:p>
        </w:tc>
      </w:tr>
      <w:tr w:rsidR="00661FD4" w:rsidTr="00D0200E">
        <w:trPr>
          <w:trHeight w:val="316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04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การศึกษาที่มีคุณภาพ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13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การรับมือกับ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Climate Change</w:t>
            </w:r>
          </w:p>
        </w:tc>
      </w:tr>
      <w:tr w:rsidR="00661FD4" w:rsidTr="00D0200E">
        <w:trPr>
          <w:trHeight w:val="327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05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ความเท่าเทียมทางเพศ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14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นิเวศทางทะเลและมหาสมุทร</w:t>
            </w:r>
          </w:p>
        </w:tc>
      </w:tr>
      <w:tr w:rsidR="00661FD4" w:rsidTr="00BA54B2">
        <w:trPr>
          <w:trHeight w:val="316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06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น้ำสะอาดและสุขาภิบาล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15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ระบบนิเวศทางบก</w:t>
            </w:r>
          </w:p>
        </w:tc>
      </w:tr>
      <w:tr w:rsidR="00661FD4" w:rsidTr="00D0200E">
        <w:trPr>
          <w:trHeight w:val="316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07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พลังงานสะอาดและสามารถหาซื้อได้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16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สันติภาพและสถาบันเข้มแข็ง</w:t>
            </w:r>
          </w:p>
        </w:tc>
      </w:tr>
      <w:tr w:rsidR="00661FD4" w:rsidTr="00BA54B2">
        <w:trPr>
          <w:trHeight w:val="327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P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08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ส่งเสริมการเจริญเติบโตทางเศรษฐกิจและการจ้างงาน</w:t>
            </w:r>
          </w:p>
        </w:tc>
        <w:tc>
          <w:tcPr>
            <w:tcW w:w="666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</w:tcPr>
          <w:p w:rsidR="00661FD4" w:rsidRP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17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หุ้นส่วนเพื่อการพัฒนา</w:t>
            </w:r>
          </w:p>
        </w:tc>
      </w:tr>
      <w:tr w:rsidR="00661FD4" w:rsidTr="00BA54B2">
        <w:trPr>
          <w:trHeight w:val="316"/>
        </w:trPr>
        <w:tc>
          <w:tcPr>
            <w:tcW w:w="665" w:type="dxa"/>
          </w:tcPr>
          <w:p w:rsid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694" w:type="dxa"/>
          </w:tcPr>
          <w:p w:rsidR="00661FD4" w:rsidRP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09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อุตสาหกรรมนวัตกรรมโครงสร้างพื้นฐาน</w:t>
            </w:r>
          </w:p>
        </w:tc>
        <w:tc>
          <w:tcPr>
            <w:tcW w:w="666" w:type="dxa"/>
            <w:shd w:val="clear" w:color="auto" w:fill="auto"/>
          </w:tcPr>
          <w:p w:rsid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230" w:type="dxa"/>
            <w:shd w:val="clear" w:color="auto" w:fill="auto"/>
          </w:tcPr>
          <w:p w:rsidR="00661FD4" w:rsidRPr="00661FD4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</w:tr>
    </w:tbl>
    <w:p w:rsidR="00661FD4" w:rsidRDefault="00661FD4" w:rsidP="00B0722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B07223" w:rsidRPr="009540FC" w:rsidRDefault="009540FC" w:rsidP="00B07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6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</w:t>
      </w:r>
      <w:r w:rsidR="00B07223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ตัวชี้วัดโครงการ (ตามประเด็นยุทธศาสตร์ในระบบ 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e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-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budget</w:t>
      </w:r>
      <w:r w:rsidR="00B07223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)</w:t>
      </w:r>
      <w:r w:rsidR="00086FDB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086FDB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</w:t>
      </w:r>
      <w:r w:rsidR="00086FDB" w:rsidRP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ประเด็นที่</w:t>
      </w:r>
      <w:r w:rsid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เลือก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5"/>
        <w:gridCol w:w="4410"/>
        <w:gridCol w:w="630"/>
        <w:gridCol w:w="4590"/>
      </w:tblGrid>
      <w:tr w:rsidR="009540FC" w:rsidRPr="00661FD4" w:rsidTr="00D0200E">
        <w:tc>
          <w:tcPr>
            <w:tcW w:w="10255" w:type="dxa"/>
            <w:gridSpan w:val="4"/>
            <w:shd w:val="clear" w:color="auto" w:fill="DEEAF6" w:themeFill="accent5" w:themeFillTint="33"/>
          </w:tcPr>
          <w:p w:rsidR="009540FC" w:rsidRPr="009540FC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  <w:t xml:space="preserve">1 </w:t>
            </w: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การเตรียมคนและเสริมสร้างศักยภาพคนให้มีสมรรถนะและทักษะแห่งอนาคต</w:t>
            </w:r>
          </w:p>
        </w:tc>
      </w:tr>
      <w:tr w:rsidR="00661FD4" w:rsidRPr="009540FC" w:rsidTr="00D0200E">
        <w:trPr>
          <w:tblHeader/>
        </w:trPr>
        <w:tc>
          <w:tcPr>
            <w:tcW w:w="625" w:type="dxa"/>
            <w:shd w:val="clear" w:color="auto" w:fill="FFF2CC" w:themeFill="accent4" w:themeFillTint="33"/>
          </w:tcPr>
          <w:p w:rsidR="00661FD4" w:rsidRPr="009540FC" w:rsidRDefault="00661FD4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661FD4" w:rsidRPr="009540FC" w:rsidRDefault="00661FD4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661FD4" w:rsidRPr="009540FC" w:rsidRDefault="00661FD4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:rsidR="00661FD4" w:rsidRPr="009540FC" w:rsidRDefault="00661FD4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661FD4" w:rsidRPr="00661FD4" w:rsidTr="00D0200E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ร้อยละของหลักสูตรที่มีจัดการเรียนรู้โดยใช้หลักการมุ่งเน้นผลลัพธ์การเรียนรู้ (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Outcome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-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based education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  <w:tc>
          <w:tcPr>
            <w:tcW w:w="630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661FD4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จำนวนการจัดการเรียนรู้ที่พัฒนาขึ้นเพื่อตอบสนองความต้องการของกลุ่มคนทุกช่วงวัย</w:t>
            </w:r>
          </w:p>
        </w:tc>
      </w:tr>
      <w:tr w:rsidR="00661FD4" w:rsidRPr="00661FD4" w:rsidTr="00D0200E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ร้อยละของหลักสูตรที่มีรายวิชาที่ใช้ชุมชนเป็นฐานการเรียนรู้มากกว่า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ใน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30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661FD4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การจัดการเรียนรู้และ/หรือหลักสูตรระยะสั้นที่ได้รับการยอมรับจากหน่วยงานภายนอก/องค์กรวิชาชีพ/หน่วยงานภาครัฐ/เอกชน</w:t>
            </w:r>
          </w:p>
        </w:tc>
      </w:tr>
      <w:tr w:rsidR="00661FD4" w:rsidRPr="00661FD4" w:rsidTr="00D0200E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จำนวนการจัดการเรียนรู้รูปแบบใหม่ที่สอดรับกับความต้องการของผู้เรียนและ/หรือสังคมในอนาคต (เช่น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multidisciplinary program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หลักสูตรที่มีพลิกโฉมรูปแบบการจัดการเรียนการสอน)</w:t>
            </w:r>
          </w:p>
        </w:tc>
        <w:tc>
          <w:tcPr>
            <w:tcW w:w="630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661FD4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ร้อยละของผู้เรียนของการจัดการเรียนรู้และ/หรือหลักสูตรระยะสั้นบรรลุผลลัพธ์การเรียนรู้ และนำไปใช้ประโยชน์ในการทำงานและ/หรือดำรงชีวิต (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UP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-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skill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/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Re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-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skill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</w:tr>
      <w:tr w:rsidR="00661FD4" w:rsidRPr="00661FD4" w:rsidTr="00D0200E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4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ร้อยละของอาจารย์ที่มีสมรรถนะด้านการจัดการเรียนรู้ที่เทียบเท่ากับระดับ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UP PSF II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เป็นต้นไป</w:t>
            </w:r>
          </w:p>
        </w:tc>
        <w:tc>
          <w:tcPr>
            <w:tcW w:w="630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661FD4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ร้อยละของนิสิตที่มีระดับคุณภาพชีวิตอยู่ในระดับมากขึ้นไป</w:t>
            </w:r>
          </w:p>
        </w:tc>
      </w:tr>
      <w:tr w:rsidR="00661FD4" w:rsidRPr="00661FD4" w:rsidTr="00D0200E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ร้อยละของอาจารย์ที่สามารถจัดการเรียนรู้ที่หลากหลายรูปแบบ มีคุณภาพตามมาตรฐานที่ดี (ร้อยละอาจารย์ที่มีผลการประเมินการสอนมากกว่า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51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และมีการพัฒนาตนเองตามที่มหาวิทยาลัยกำหนด)</w:t>
            </w:r>
          </w:p>
        </w:tc>
        <w:tc>
          <w:tcPr>
            <w:tcW w:w="630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661FD4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ร้อยละของจำนวนนิสิตที่มีอัตลักษณ์ที่สอดคล้องกับอัตลักษณ์มหาวิทยาลัยพะเยา</w:t>
            </w:r>
          </w:p>
        </w:tc>
      </w:tr>
      <w:tr w:rsidR="00661FD4" w:rsidRPr="00661FD4" w:rsidTr="00D0200E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6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จำนวนนวัตกรรมและ/หรือรูปแบบการจัดการเรียนการสอนแบบใหม่ หรือรูปแบบใหม่ของการจัดสภาพแวดล้อมที่ส่งเสริมการเรียนรู้ที่สามารถนำไปขยายผลได้</w:t>
            </w:r>
          </w:p>
        </w:tc>
        <w:tc>
          <w:tcPr>
            <w:tcW w:w="630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661FD4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ร้อยละของจำนวนนิสิตที่เข้าร่วมกิจกรรมพัฒนา อัตลักษณ์นิสิตมหาวิทยาลัยพะเยา อย่างน้อย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9540F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กิจกรรม/ปี</w:t>
            </w:r>
          </w:p>
        </w:tc>
      </w:tr>
      <w:tr w:rsidR="00661FD4" w:rsidRPr="00661FD4" w:rsidTr="00BA54B2">
        <w:tc>
          <w:tcPr>
            <w:tcW w:w="625" w:type="dxa"/>
          </w:tcPr>
          <w:p w:rsidR="00661FD4" w:rsidRPr="00661FD4" w:rsidRDefault="00661FD4" w:rsidP="009540F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7 </w:t>
            </w:r>
            <w:r w:rsidRPr="00661FD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จำนวนหลักสูตรที่มีการพัฒนาด้วยหลักการตามเกณฑ์การประกันคุณภาพระดับสากล</w:t>
            </w:r>
          </w:p>
        </w:tc>
        <w:tc>
          <w:tcPr>
            <w:tcW w:w="630" w:type="dxa"/>
            <w:shd w:val="clear" w:color="auto" w:fill="auto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  <w:shd w:val="clear" w:color="auto" w:fill="auto"/>
          </w:tcPr>
          <w:p w:rsidR="00661FD4" w:rsidRPr="00661FD4" w:rsidRDefault="00661FD4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  <w:tr w:rsidR="009540FC" w:rsidRPr="00661FD4" w:rsidTr="00D020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:rsidR="009540FC" w:rsidRPr="00661FD4" w:rsidRDefault="009540FC" w:rsidP="009540F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2 การสร้างงานวิจัยและนวัตกรรมพัฒนาเศรษฐกิจ สังคม และชุมชน</w:t>
            </w:r>
          </w:p>
        </w:tc>
      </w:tr>
      <w:tr w:rsidR="009540FC" w:rsidRPr="009540FC" w:rsidTr="00D0200E">
        <w:trPr>
          <w:tblHeader/>
        </w:trPr>
        <w:tc>
          <w:tcPr>
            <w:tcW w:w="625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2.1.1 ระบบนิเวศการวิจัยและนวัตกรรมเพื่อการพัฒนาชุมชนท้องถิ่น และการใช้ประโยชน์เชิงพาณิชย์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ร้อยละของผลงานวิจัยที่มีชุมชนร่วมดำเนินงาน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ชุมชนที่ใช้ผลงานวิจัยและนวัตกรรมที่มีการนำไปใช้ประโยชน์เชิงพื้นที่และขับเคลื่อนชุมชนและสังคมสู่การมีคุณภาพชีวิตที่เพิ่มขึ้น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proofErr w:type="spellStart"/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SCImago</w:t>
            </w:r>
            <w:proofErr w:type="spellEnd"/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Institution Ranking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ร้อยละที่เพิ่มขึ้นของจำนวนทรัพย์สินทางปัญญาที่ถูกนำไปใช้ประโยชน์ ร้อยละของจำนวนทรัพย์สินทางปัญญาที่ถูกนำไปใช้ประโยชน์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 Times Higher Education Impact Ranking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4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ร้อยละที่เพิ่มขึ้นของผลิตภัณฑ์สร้างรายได้ที่เกิดจากการต่อยอดผลงานวิจัย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สัดส่วนร้อยละของผลงานตีพิมพ์ระดับนานาชาติของงาน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Area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-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Based Research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กับผลงานตีพิมพ์ระดับนานาชาติทั้งหมด</w:t>
            </w:r>
          </w:p>
        </w:tc>
      </w:tr>
      <w:tr w:rsidR="009540FC" w:rsidRPr="00661FD4" w:rsidTr="00BA54B2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ร้อยละที่เพิ่มขึ้นขององค์ความรู้นวัตกรรมที่ถูกนำไปใช้ประโยชน์เพื่อการพัฒนาชุมชน</w:t>
            </w:r>
          </w:p>
        </w:tc>
        <w:tc>
          <w:tcPr>
            <w:tcW w:w="630" w:type="dxa"/>
            <w:shd w:val="clear" w:color="auto" w:fill="auto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  <w:shd w:val="clear" w:color="auto" w:fill="auto"/>
          </w:tcPr>
          <w:p w:rsidR="009540FC" w:rsidRPr="00661FD4" w:rsidRDefault="009540FC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  <w:tr w:rsidR="009540FC" w:rsidRPr="00661FD4" w:rsidTr="00D020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:rsidR="009540FC" w:rsidRPr="00661FD4" w:rsidRDefault="009540FC" w:rsidP="009540F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3 การบริการวิชาการและสร้างสรรค์พื้นที่การเรียนรู้เพื่อความเป็นอยู่ที่ดีทางสังคม</w:t>
            </w:r>
          </w:p>
        </w:tc>
      </w:tr>
      <w:tr w:rsidR="009540FC" w:rsidRPr="009540FC" w:rsidTr="00D0200E">
        <w:trPr>
          <w:tblHeader/>
        </w:trPr>
        <w:tc>
          <w:tcPr>
            <w:tcW w:w="625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ร้อยละค่าเฉลี่ยรายได้ต่อครัวเรือนในพื้นที่บริการสูงขึ้น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จำนวนเครือข่ายความร่วมมือในการพัฒนาเศรษฐกิจฐานรากและ เศรษฐกิจนวัตกรรม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ร้อยละที่เพิ่มขึ้นของจำนวน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Startup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หรือ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Spin off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จากการดำเนินงานของมหาวิทยาลัย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ัตราการเติบโตของร้อยละของจำนวนประชากรในการเข้าถึงการให้บริการในโรงพยาบาลมหาวิทยาลัยพะเยาของชุมชนในจังหวัดพะเยา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ระบบนิเวศการบริการวิชาการเพื่อใช้ประโยชน์จากองค์ความรู้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BCG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และนวัตกรรมสู่เชิงพาณิชย์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จำนวนชุมชนในพื้นที่เป้าหมายที่มีค่าเฉลี่ยของอายุประชากรของชุมชนสูงขึ้น</w:t>
            </w:r>
          </w:p>
        </w:tc>
      </w:tr>
      <w:tr w:rsidR="009540FC" w:rsidRPr="00661FD4" w:rsidTr="00D020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:rsidR="009540FC" w:rsidRPr="00661FD4" w:rsidRDefault="009540FC" w:rsidP="009540F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4 การส่งเสริมการทำนุบำรุงศิลปวัฒนธรรมเพื่อความเป็นไทยและเอกลักษณ์ของชาติ</w:t>
            </w:r>
          </w:p>
        </w:tc>
      </w:tr>
      <w:tr w:rsidR="009540FC" w:rsidRPr="009540FC" w:rsidTr="00D0200E">
        <w:trPr>
          <w:tblHeader/>
        </w:trPr>
        <w:tc>
          <w:tcPr>
            <w:tcW w:w="625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90" w:type="dxa"/>
            <w:shd w:val="clear" w:color="auto" w:fill="FFF2CC" w:themeFill="accent4" w:themeFillTint="33"/>
          </w:tcPr>
          <w:p w:rsidR="009540FC" w:rsidRPr="009540FC" w:rsidRDefault="009540FC" w:rsidP="00DF39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4.1.1 การจัดอันดับ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The Impact Ranking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ตาม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SDG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9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SDG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11 และ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SDG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17 ของประเทศไทย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ชุมชนในจังหวัดพะเยาได้รับการยกระดับเป็น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Cultural Creative City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จำนวนที่เพิ่มขึ้นของ องค์ความรู้ ศิลปวัฒนธรรม มรดกทางวัฒนธรรม และภูมิปัญญาท้องถิ่น ที่ได้รับการฟื้นฟูอนุรักษ์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086FDB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4.3.3 ธุรกิจทางวัฒนธรรมที่ได้รับการพัฒนาสู่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Cultural Creative Economy</w:t>
            </w:r>
          </w:p>
        </w:tc>
      </w:tr>
      <w:tr w:rsidR="009540FC" w:rsidRPr="00661FD4" w:rsidTr="00D0200E">
        <w:tc>
          <w:tcPr>
            <w:tcW w:w="625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จำนวนผลิตภัณฑ์หรือบริการทางวัฒนธรรมที่ได้รับการพัฒนาจากทุนทางวัฒนธรรม</w:t>
            </w:r>
          </w:p>
        </w:tc>
        <w:tc>
          <w:tcPr>
            <w:tcW w:w="630" w:type="dxa"/>
          </w:tcPr>
          <w:p w:rsidR="009540FC" w:rsidRPr="00661FD4" w:rsidRDefault="009540FC" w:rsidP="00DF3987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9540FC" w:rsidRPr="00661FD4" w:rsidRDefault="00086FDB" w:rsidP="00DF3987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4.4.1 จำนวนแหล่งเรียนรู้ที่สร้างความตระหนักรู้แก่ชุมชนด้านการอนุรักษ์ ทรัพยากรธรรมชาติและสิ่งแวดล้อมทั้งทางธรรมชาติและวัฒนธรรม เพื่อใช้ประโยชน์จาก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BCG</w:t>
            </w:r>
          </w:p>
        </w:tc>
      </w:tr>
      <w:tr w:rsidR="009540FC" w:rsidRPr="00661FD4" w:rsidTr="00D020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:rsidR="009540FC" w:rsidRPr="00661FD4" w:rsidRDefault="009540FC" w:rsidP="009540F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5 การพัฒนาระบบบริหารจัดการที่ทันสมัย มีประสิทธิภาพโปร่งใส และมีธรรมาภิบาล</w:t>
            </w:r>
          </w:p>
        </w:tc>
      </w:tr>
      <w:tr w:rsidR="00086FDB" w:rsidRPr="00661FD4" w:rsidTr="00D0200E">
        <w:tc>
          <w:tcPr>
            <w:tcW w:w="625" w:type="dxa"/>
          </w:tcPr>
          <w:p w:rsidR="00086FDB" w:rsidRPr="00661FD4" w:rsidRDefault="00086FDB" w:rsidP="00086FDB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086FDB" w:rsidRPr="00661FD4" w:rsidRDefault="00086FDB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จำนวนระบบนิเวศสนับสนุนการส่งเสริมธรรมาภิบาลในมหาวิทยาลัย</w:t>
            </w:r>
          </w:p>
        </w:tc>
        <w:tc>
          <w:tcPr>
            <w:tcW w:w="630" w:type="dxa"/>
          </w:tcPr>
          <w:p w:rsidR="00086FDB" w:rsidRPr="00661FD4" w:rsidRDefault="00086FDB" w:rsidP="00086FDB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086FDB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จำนวนหลักสูตรที่จัดการเรียนการสอนผ่านดิจิทัลแพลตฟอร์ม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ระดับการประเมิน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ITA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ของระดับมหาวิทยาลัย/ระดับหน่วยงานภายในมหาวิทยาลัยอยู่ในระดับ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A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ไม่น้อยกว่าร้อยละ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ระบบการดูแลกลุ่มผู้เรียนที่ (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Student Service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 ที่ครอบคลุมหลักสูตรทุกๆ รูปแบบ ที่เอื้อให้เกิดความสุขในการเรียนรู้ของผู้เรียน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จำนวนระบบ ปฏิบัติการตามกระบวนการคุณภาพ เพื่อสนับสนุนการดำเนินงานตามพันธกิจหลัก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4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ระบบนิเวศน์การดำเนินงานของมหาวิทยาลัยในรูปแบบดิจิทัล (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Cyber University Platform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4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จำนวนหน่วยงานภายในและมหาวิทยาลัยที่มีระดับการประเมิน </w:t>
            </w:r>
            <w:proofErr w:type="spellStart"/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EdPEx</w:t>
            </w:r>
            <w:proofErr w:type="spellEnd"/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ที่สูงขึ้นมากกว่าร้อยละ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ร้อยละของระบบนิเวศโครงสร้างพื้นฐานสนับสนุนการเป็น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Cyber University Platform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ที่ได้รับการพัฒนา (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ICT Infrastructure, Bigdata, MIS, DSS, Application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โครงสร้างพื้นฐานที่ได้รับการพัฒนาให้เอื้อต่อการทำงานแบบบูรณาการระหว่างหน่วยงานเพื่อสนับสนุนการดำเนินงานในทุกพันธกิจ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ร้อยละของอาจารย์ที่มีศักยภาพ/สมรรถนะระดับสูงในการจัดการเพื่อให้เกิด (สร้าง) การเรียนรู้ของผู้เรียน และการเรียนรู้ผ่านเทคโนโลยีอนาคต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6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ร้อยละของการพัฒนารูปแบบการทำงานแบบร่วมมือกันด้วยการใช้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Digital Platform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อัตราส่วนของจำนวนบุคคลากรต่ออัตราที่พึงมีที่สอดคล้องกับพันธกิจทุกด้านไม่น้อยกว่า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0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7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ร้อยละของรายได้จากการลงทุนและการบริหารทรัพย์สิน และรายได้จากการดำเนินกิจการตามพันธกิจที่เกี่ยวข้องเพิ่มขึ้น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ร้อยละของบุคลากรมีค่านิยมร่วมและมีความสุขในการทำงาน (</w:t>
            </w:r>
            <w:proofErr w:type="spellStart"/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Happinometer</w:t>
            </w:r>
            <w:proofErr w:type="spellEnd"/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8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จำนวนเครือข่ายความร่วมมือในการดำเนินงานตามพันธกิจหลักของมหาวิทยาลัยในระดับนานาชาติ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4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ร้อยละของบุคลากรที่มีพฤติกรรม/ค่านิยมการมีส่วนร่วมพัฒนามหาวิทยาลัย การทุ่มเทและเสียสละเพื่อองค์กร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9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ร้อยละของผลการประเมินที่เพิ่มขึ้นของชื่อเสียงและภาพลักษณ์องค์กรในระดับชาติและนานาชาติ (ความประทับใจ ความเชื่อมั่น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Default="00D0200E" w:rsidP="00D0200E">
            <w:pPr>
              <w:ind w:right="-12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ร้อยละของบุคคลากรสายสนับสนุนที่มีสมรรถนะระดับสูงรองรับพันธกิจที่ท้าทาย</w:t>
            </w:r>
          </w:p>
          <w:p w:rsidR="00D0200E" w:rsidRPr="00086FDB" w:rsidRDefault="00D0200E" w:rsidP="00D0200E">
            <w:pPr>
              <w:ind w:right="-12" w:firstLine="720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10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ผลการประเมินระบบการสื่อสารองค์กรและการสร้างความผูกพันกับบุคลากรทั่วทั้งมหาวิทยาลัย คู่ความร่วมมือสำคัญ ผู้เรียนและลูกค้ากลุ่มอื่นที่สำคัญ (ระดับความพึงพอใจ)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มหาวิทยาลัยเข้าสู่การจัดลำดับมหาวิทยาลัยสีเขียว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UI Green Ranking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ที่สูงขึ้น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086FDB" w:rsidRDefault="00D0200E" w:rsidP="00D0200E">
            <w:pPr>
              <w:ind w:right="-21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จำนวนกิจกรรมการมีส่วนร่วมของ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Alumni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เพื่อการพัฒนาอัตลักษณ์นิสิต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086FDB" w:rsidRDefault="00D0200E" w:rsidP="00D0200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การได้รับการจัดอันดับองค์กรผู้นำด้านการจัดการก๊าซเรือนกระจก</w:t>
            </w:r>
          </w:p>
        </w:tc>
      </w:tr>
      <w:tr w:rsidR="00D0200E" w:rsidRPr="00661FD4" w:rsidTr="00D0200E">
        <w:tc>
          <w:tcPr>
            <w:tcW w:w="625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10" w:type="dxa"/>
          </w:tcPr>
          <w:p w:rsidR="00D0200E" w:rsidRPr="00661FD4" w:rsidRDefault="00D0200E" w:rsidP="00D0200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086FD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จำนวนเทคโนโลยีดิจิทัลแพลตฟอร์ม รองรับการจัดการศึกษาอย่างมีคุณภาพที่ได้รับการพัฒนา</w:t>
            </w:r>
          </w:p>
        </w:tc>
        <w:tc>
          <w:tcPr>
            <w:tcW w:w="630" w:type="dxa"/>
          </w:tcPr>
          <w:p w:rsidR="00D0200E" w:rsidRPr="00661FD4" w:rsidRDefault="00D0200E" w:rsidP="00D0200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90" w:type="dxa"/>
          </w:tcPr>
          <w:p w:rsidR="00D0200E" w:rsidRPr="00661FD4" w:rsidRDefault="00D0200E" w:rsidP="00D0200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.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จำนวน 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UP Learning Space 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เพื่อสนั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บ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สนุนการพัฒนานิสิตและชุมชนในทุกพันธกิจ</w:t>
            </w:r>
          </w:p>
        </w:tc>
      </w:tr>
    </w:tbl>
    <w:p w:rsidR="006E021B" w:rsidRPr="00B07223" w:rsidRDefault="006E021B" w:rsidP="00B07223">
      <w:pPr>
        <w:spacing w:after="0" w:line="240" w:lineRule="auto"/>
        <w:ind w:firstLine="720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:rsidR="00B07223" w:rsidRPr="00D0200E" w:rsidRDefault="00B07223" w:rsidP="00B0722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</w:pP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1</w:t>
      </w:r>
      <w:r w:rsidR="00C0039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7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</w:t>
      </w:r>
      <w:r w:rsidR="006E021B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ระบุ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เป้าหมายตาม 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 xml:space="preserve">Balanced Scorecard 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(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BSC</w:t>
      </w:r>
      <w:r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)</w:t>
      </w:r>
      <w:r w:rsidR="006E021B" w:rsidRPr="009540FC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6E021B" w:rsidRPr="00D0200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6E021B" w:rsidRPr="00D0200E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6E021B" w:rsidRPr="00D0200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ลงในเป้าหมายที่กำหนด</w:t>
      </w: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6171"/>
        <w:gridCol w:w="1013"/>
        <w:gridCol w:w="1013"/>
        <w:gridCol w:w="1013"/>
        <w:gridCol w:w="1016"/>
      </w:tblGrid>
      <w:tr w:rsidR="00BA54B2" w:rsidRPr="00D0200E" w:rsidTr="00BA54B2">
        <w:trPr>
          <w:trHeight w:val="330"/>
          <w:tblHeader/>
        </w:trPr>
        <w:tc>
          <w:tcPr>
            <w:tcW w:w="6171" w:type="dxa"/>
            <w:shd w:val="clear" w:color="auto" w:fill="DEEAF6" w:themeFill="accent5" w:themeFillTint="33"/>
          </w:tcPr>
          <w:p w:rsidR="00B07223" w:rsidRPr="00D0200E" w:rsidRDefault="00B07223" w:rsidP="006E02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7"/>
                <w:szCs w:val="27"/>
                <w:cs/>
                <w14:ligatures w14:val="none"/>
              </w:rPr>
              <w:t>รายการ</w:t>
            </w:r>
          </w:p>
        </w:tc>
        <w:tc>
          <w:tcPr>
            <w:tcW w:w="1013" w:type="dxa"/>
            <w:shd w:val="clear" w:color="auto" w:fill="DEEAF6" w:themeFill="accent5" w:themeFillTint="33"/>
          </w:tcPr>
          <w:p w:rsidR="00B07223" w:rsidRPr="00D0200E" w:rsidRDefault="00B07223" w:rsidP="006E021B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ร้อยละ </w:t>
            </w: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70</w:t>
            </w:r>
          </w:p>
        </w:tc>
        <w:tc>
          <w:tcPr>
            <w:tcW w:w="1013" w:type="dxa"/>
            <w:shd w:val="clear" w:color="auto" w:fill="DEEAF6" w:themeFill="accent5" w:themeFillTint="33"/>
          </w:tcPr>
          <w:p w:rsidR="00B07223" w:rsidRPr="00D0200E" w:rsidRDefault="00B07223" w:rsidP="006E021B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ร้อยละ </w:t>
            </w: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80</w:t>
            </w:r>
          </w:p>
        </w:tc>
        <w:tc>
          <w:tcPr>
            <w:tcW w:w="1013" w:type="dxa"/>
            <w:shd w:val="clear" w:color="auto" w:fill="DEEAF6" w:themeFill="accent5" w:themeFillTint="33"/>
          </w:tcPr>
          <w:p w:rsidR="00B07223" w:rsidRPr="00D0200E" w:rsidRDefault="00B07223" w:rsidP="006E021B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ร้อยละ </w:t>
            </w: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90</w:t>
            </w:r>
          </w:p>
        </w:tc>
        <w:tc>
          <w:tcPr>
            <w:tcW w:w="1013" w:type="dxa"/>
            <w:shd w:val="clear" w:color="auto" w:fill="DEEAF6" w:themeFill="accent5" w:themeFillTint="33"/>
          </w:tcPr>
          <w:p w:rsidR="00B07223" w:rsidRPr="00D0200E" w:rsidRDefault="00B07223" w:rsidP="006E021B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ร้อยละ </w:t>
            </w:r>
            <w:r w:rsidRPr="00D0200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100</w:t>
            </w:r>
          </w:p>
        </w:tc>
      </w:tr>
      <w:tr w:rsidR="00661FD4" w:rsidRPr="00D0200E" w:rsidTr="00BA54B2">
        <w:trPr>
          <w:trHeight w:val="76"/>
        </w:trPr>
        <w:tc>
          <w:tcPr>
            <w:tcW w:w="10226" w:type="dxa"/>
            <w:gridSpan w:val="5"/>
            <w:shd w:val="clear" w:color="auto" w:fill="FFF2CC" w:themeFill="accent4" w:themeFillTint="33"/>
          </w:tcPr>
          <w:p w:rsidR="00661FD4" w:rsidRPr="00D0200E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B07223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มุมมองด้านการเงิน (</w:t>
            </w:r>
            <w:r w:rsidRPr="00B07223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Financial Perspective</w:t>
            </w:r>
            <w:r w:rsidRPr="00B07223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)</w:t>
            </w:r>
          </w:p>
        </w:tc>
      </w:tr>
      <w:tr w:rsidR="00D0200E" w:rsidRPr="00D0200E" w:rsidTr="00BA54B2">
        <w:trPr>
          <w:trHeight w:val="330"/>
        </w:trPr>
        <w:tc>
          <w:tcPr>
            <w:tcW w:w="6171" w:type="dxa"/>
          </w:tcPr>
          <w:p w:rsidR="00B07223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kern w:val="0"/>
                <w:sz w:val="27"/>
                <w:szCs w:val="27"/>
                <w:cs/>
                <w14:ligatures w14:val="none"/>
              </w:rPr>
              <w:t xml:space="preserve">- </w:t>
            </w:r>
            <w:r w:rsidRPr="00B07223">
              <w:rPr>
                <w:rFonts w:ascii="TH SarabunPSK" w:eastAsia="Times New Roman" w:hAnsi="TH SarabunPSK" w:cs="TH SarabunPSK"/>
                <w:kern w:val="0"/>
                <w:sz w:val="27"/>
                <w:szCs w:val="27"/>
                <w:cs/>
                <w14:ligatures w14:val="none"/>
              </w:rPr>
              <w:t>การใช้จ่ายงบประมาณอย่างมีประสิทธิภาพและคุ้มค่า</w:t>
            </w: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661FD4" w:rsidRPr="00D0200E" w:rsidTr="00BA54B2">
        <w:trPr>
          <w:trHeight w:val="84"/>
        </w:trPr>
        <w:tc>
          <w:tcPr>
            <w:tcW w:w="10226" w:type="dxa"/>
            <w:gridSpan w:val="5"/>
            <w:shd w:val="clear" w:color="auto" w:fill="FFF2CC" w:themeFill="accent4" w:themeFillTint="33"/>
          </w:tcPr>
          <w:p w:rsidR="00661FD4" w:rsidRPr="00D0200E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มุมมองด้านลูกค้า (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Customer Perspective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)</w:t>
            </w:r>
          </w:p>
        </w:tc>
      </w:tr>
      <w:tr w:rsidR="00D0200E" w:rsidRPr="00D0200E" w:rsidTr="00BA54B2">
        <w:trPr>
          <w:trHeight w:val="330"/>
        </w:trPr>
        <w:tc>
          <w:tcPr>
            <w:tcW w:w="6171" w:type="dxa"/>
          </w:tcPr>
          <w:p w:rsidR="00B07223" w:rsidRPr="00D0200E" w:rsidRDefault="006E021B" w:rsidP="00661FD4">
            <w:pPr>
              <w:ind w:left="250" w:hanging="9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kern w:val="0"/>
                <w:sz w:val="27"/>
                <w:szCs w:val="27"/>
                <w:cs/>
                <w14:ligatures w14:val="none"/>
              </w:rPr>
              <w:t xml:space="preserve">- </w:t>
            </w:r>
            <w:r w:rsidRPr="00B07223">
              <w:rPr>
                <w:rFonts w:ascii="TH SarabunPSK" w:eastAsia="Times New Roman" w:hAnsi="TH SarabunPSK" w:cs="TH SarabunPSK"/>
                <w:kern w:val="0"/>
                <w:sz w:val="27"/>
                <w:szCs w:val="27"/>
                <w:cs/>
                <w14:ligatures w14:val="none"/>
              </w:rPr>
              <w:t>การตอบสนองความต้องการของกลุ่มเป้าหมาย</w:t>
            </w: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D0200E" w:rsidRPr="00D0200E" w:rsidTr="00BA54B2">
        <w:trPr>
          <w:trHeight w:val="330"/>
        </w:trPr>
        <w:tc>
          <w:tcPr>
            <w:tcW w:w="6171" w:type="dxa"/>
          </w:tcPr>
          <w:p w:rsidR="00B07223" w:rsidRPr="00D0200E" w:rsidRDefault="006E021B" w:rsidP="00661FD4">
            <w:pPr>
              <w:ind w:left="250" w:hanging="9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lastRenderedPageBreak/>
              <w:t xml:space="preserve">- </w:t>
            </w:r>
            <w:r w:rsidRPr="00B07223">
              <w:rPr>
                <w:rFonts w:ascii="TH SarabunPSK" w:eastAsia="Times New Roman" w:hAnsi="TH SarabunPSK" w:cs="TH SarabunPSK"/>
                <w:kern w:val="0"/>
                <w:sz w:val="27"/>
                <w:szCs w:val="27"/>
                <w:cs/>
                <w14:ligatures w14:val="none"/>
              </w:rPr>
              <w:t>ความพึงพอใจของกลุ่มเป้าหมาย/ผู้เข้าร่วมโครงการ    </w:t>
            </w: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D0200E" w:rsidRPr="00D0200E" w:rsidTr="00BA54B2">
        <w:trPr>
          <w:trHeight w:val="330"/>
        </w:trPr>
        <w:tc>
          <w:tcPr>
            <w:tcW w:w="6171" w:type="dxa"/>
          </w:tcPr>
          <w:p w:rsidR="00B07223" w:rsidRPr="00D0200E" w:rsidRDefault="006E021B" w:rsidP="00661FD4">
            <w:pPr>
              <w:ind w:left="250" w:hanging="9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 xml:space="preserve">- </w:t>
            </w:r>
            <w:r w:rsidRPr="00B07223">
              <w:rPr>
                <w:rFonts w:ascii="TH SarabunPSK" w:eastAsia="Times New Roman" w:hAnsi="TH SarabunPSK" w:cs="TH SarabunPSK"/>
                <w:kern w:val="0"/>
                <w:sz w:val="27"/>
                <w:szCs w:val="27"/>
                <w:cs/>
                <w14:ligatures w14:val="none"/>
              </w:rPr>
              <w:t>การเปิดโอกาสให้กลุ่มเป้าหมาย/ผู้เข้าร่วมโครงการมีเสรีภาพในการแสดงออก  </w:t>
            </w: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661FD4" w:rsidRPr="00D0200E" w:rsidTr="00BA54B2">
        <w:trPr>
          <w:trHeight w:val="46"/>
        </w:trPr>
        <w:tc>
          <w:tcPr>
            <w:tcW w:w="10226" w:type="dxa"/>
            <w:gridSpan w:val="5"/>
            <w:shd w:val="clear" w:color="auto" w:fill="FFF2CC" w:themeFill="accent4" w:themeFillTint="33"/>
          </w:tcPr>
          <w:p w:rsidR="00661FD4" w:rsidRPr="00D0200E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มุมมองด้านการดำเนินการภายใน (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Internal Perspective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)</w:t>
            </w:r>
          </w:p>
        </w:tc>
      </w:tr>
      <w:tr w:rsidR="00BA54B2" w:rsidRPr="00D0200E" w:rsidTr="00BA54B2">
        <w:trPr>
          <w:trHeight w:val="330"/>
        </w:trPr>
        <w:tc>
          <w:tcPr>
            <w:tcW w:w="6171" w:type="dxa"/>
          </w:tcPr>
          <w:p w:rsidR="006E021B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 xml:space="preserve">- มีการปฏิบัติตามหลักการบริหารโครงการ 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P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-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D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-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C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-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A</w:t>
            </w: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BA54B2" w:rsidRPr="00D0200E" w:rsidTr="00BA54B2">
        <w:trPr>
          <w:trHeight w:val="330"/>
        </w:trPr>
        <w:tc>
          <w:tcPr>
            <w:tcW w:w="6171" w:type="dxa"/>
          </w:tcPr>
          <w:p w:rsidR="006E021B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- มีการประยุกต์ใช้เทคโนโลยีสารสนเทศที่เหมาะสม</w:t>
            </w: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661FD4" w:rsidRPr="00D0200E" w:rsidTr="00BA54B2">
        <w:trPr>
          <w:trHeight w:val="46"/>
        </w:trPr>
        <w:tc>
          <w:tcPr>
            <w:tcW w:w="10226" w:type="dxa"/>
            <w:gridSpan w:val="5"/>
            <w:shd w:val="clear" w:color="auto" w:fill="FFF2CC" w:themeFill="accent4" w:themeFillTint="33"/>
          </w:tcPr>
          <w:p w:rsidR="00661FD4" w:rsidRPr="00D0200E" w:rsidRDefault="00661FD4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มุมมองด้านการเรียนรู้และพัฒนาการ (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  <w:t>Learning and Growth Perspective</w:t>
            </w: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)</w:t>
            </w:r>
          </w:p>
        </w:tc>
      </w:tr>
      <w:tr w:rsidR="006E021B" w:rsidRPr="00D0200E" w:rsidTr="00BA54B2">
        <w:trPr>
          <w:trHeight w:val="330"/>
        </w:trPr>
        <w:tc>
          <w:tcPr>
            <w:tcW w:w="6171" w:type="dxa"/>
          </w:tcPr>
          <w:p w:rsidR="006E021B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 xml:space="preserve">- ความรู้/ความเข้าใจที่ได้จากโครงการ    </w:t>
            </w: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6E021B" w:rsidRPr="00D0200E" w:rsidTr="00BA54B2">
        <w:trPr>
          <w:trHeight w:val="330"/>
        </w:trPr>
        <w:tc>
          <w:tcPr>
            <w:tcW w:w="6171" w:type="dxa"/>
          </w:tcPr>
          <w:p w:rsidR="006E021B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 xml:space="preserve">- ทักษะ/ประสบการณ์ที่ได้จากโครงการ  </w:t>
            </w: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6E021B" w:rsidRPr="00D0200E" w:rsidTr="00BA54B2">
        <w:trPr>
          <w:trHeight w:val="330"/>
        </w:trPr>
        <w:tc>
          <w:tcPr>
            <w:tcW w:w="6171" w:type="dxa"/>
          </w:tcPr>
          <w:p w:rsidR="006E021B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- การมีส่วนร่วม/ความร่วมมือในโครงการ</w:t>
            </w: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6E021B" w:rsidRPr="00D0200E" w:rsidRDefault="006E021B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  <w:tr w:rsidR="00D0200E" w:rsidRPr="00D0200E" w:rsidTr="00BA54B2">
        <w:trPr>
          <w:trHeight w:val="330"/>
        </w:trPr>
        <w:tc>
          <w:tcPr>
            <w:tcW w:w="6171" w:type="dxa"/>
          </w:tcPr>
          <w:p w:rsidR="00B07223" w:rsidRPr="00D0200E" w:rsidRDefault="006E021B" w:rsidP="006E021B">
            <w:pPr>
              <w:ind w:firstLine="160"/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  <w:r w:rsidRPr="00D0200E"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:cs/>
                <w14:ligatures w14:val="none"/>
              </w:rPr>
              <w:t>- ความรู้สึก/ความผูกพันที่ดีที่ได้รับจากโครงการ</w:t>
            </w: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013" w:type="dxa"/>
          </w:tcPr>
          <w:p w:rsidR="00B07223" w:rsidRPr="00D0200E" w:rsidRDefault="00B07223" w:rsidP="00B07223">
            <w:pPr>
              <w:rPr>
                <w:rFonts w:ascii="TH SarabunPSK" w:eastAsia="Times New Roman" w:hAnsi="TH SarabunPSK" w:cs="TH SarabunPSK"/>
                <w:color w:val="242424"/>
                <w:kern w:val="0"/>
                <w:sz w:val="27"/>
                <w:szCs w:val="27"/>
                <w14:ligatures w14:val="none"/>
              </w:rPr>
            </w:pPr>
          </w:p>
        </w:tc>
      </w:tr>
    </w:tbl>
    <w:p w:rsidR="00B07223" w:rsidRPr="00B07223" w:rsidRDefault="00B07223" w:rsidP="00B0722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sectPr w:rsidR="00B07223" w:rsidRPr="00B07223" w:rsidSect="003F6417">
      <w:pgSz w:w="11906" w:h="16838"/>
      <w:pgMar w:top="990" w:right="926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79"/>
    <w:multiLevelType w:val="multilevel"/>
    <w:tmpl w:val="90F23A26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ascii="Times New Roman" w:hAnsi="Times New Roman" w:cs="TH Sarabun New" w:hint="default"/>
        <w:b/>
        <w:bCs/>
        <w:i w:val="0"/>
        <w:iCs w:val="0"/>
        <w:caps/>
        <w:strike w:val="0"/>
        <w:dstrike w:val="0"/>
        <w:vanish w:val="0"/>
        <w:color w:val="000000" w:themeColor="text1"/>
        <w:sz w:val="28"/>
        <w:szCs w:val="3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H Sarabun New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6"/>
        <w:szCs w:val="36"/>
        <w:vertAlign w:val="baseline"/>
      </w:rPr>
    </w:lvl>
    <w:lvl w:ilvl="2">
      <w:start w:val="1"/>
      <w:numFmt w:val="decimal"/>
      <w:lvlText w:val="%1.%2.%3"/>
      <w:lvlJc w:val="left"/>
      <w:pPr>
        <w:ind w:left="1526" w:hanging="806"/>
      </w:pPr>
      <w:rPr>
        <w:rFonts w:ascii="Times New Roman" w:hAnsi="Times New Roman" w:cs="TH Sarabun New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4"/>
        <w:szCs w:val="3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627"/>
        </w:tabs>
        <w:ind w:left="2707" w:hanging="1080"/>
      </w:pPr>
      <w:rPr>
        <w:rFonts w:ascii="Times New Roman" w:hAnsi="Times New Roman" w:cs="TH Sarabun New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z w:val="24"/>
        <w:szCs w:val="32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353D62"/>
    <w:multiLevelType w:val="hybridMultilevel"/>
    <w:tmpl w:val="1E38C336"/>
    <w:lvl w:ilvl="0" w:tplc="B54CCB9E">
      <w:start w:val="1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23"/>
    <w:rsid w:val="00086FDB"/>
    <w:rsid w:val="00104985"/>
    <w:rsid w:val="003F6417"/>
    <w:rsid w:val="00482C16"/>
    <w:rsid w:val="005830D8"/>
    <w:rsid w:val="00661FD4"/>
    <w:rsid w:val="006E021B"/>
    <w:rsid w:val="00733B1B"/>
    <w:rsid w:val="00787A19"/>
    <w:rsid w:val="008E7787"/>
    <w:rsid w:val="009540FC"/>
    <w:rsid w:val="00B07223"/>
    <w:rsid w:val="00BA54B2"/>
    <w:rsid w:val="00C00390"/>
    <w:rsid w:val="00CA006C"/>
    <w:rsid w:val="00CA5737"/>
    <w:rsid w:val="00D0200E"/>
    <w:rsid w:val="00D94B09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E455"/>
  <w15:chartTrackingRefBased/>
  <w15:docId w15:val="{77982A69-88FE-4F3F-A264-55A5E174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787"/>
    <w:pPr>
      <w:keepNext/>
      <w:keepLines/>
      <w:numPr>
        <w:numId w:val="2"/>
      </w:numPr>
      <w:spacing w:before="720" w:after="480" w:line="360" w:lineRule="auto"/>
      <w:jc w:val="center"/>
      <w:outlineLvl w:val="0"/>
    </w:pPr>
    <w:rPr>
      <w:rFonts w:ascii="Times New Roman" w:eastAsiaTheme="majorEastAsia" w:hAnsi="Times New Roman" w:cs="TH Sarabun New"/>
      <w:b/>
      <w:bCs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87"/>
    <w:pPr>
      <w:keepNext/>
      <w:keepLines/>
      <w:numPr>
        <w:ilvl w:val="1"/>
        <w:numId w:val="2"/>
      </w:numPr>
      <w:spacing w:after="260" w:line="360" w:lineRule="auto"/>
      <w:jc w:val="both"/>
      <w:outlineLvl w:val="1"/>
    </w:pPr>
    <w:rPr>
      <w:rFonts w:ascii="Times New Roman" w:eastAsiaTheme="majorEastAsia" w:hAnsi="Times New Roman" w:cs="TH Sarabun New"/>
      <w:b/>
      <w:color w:val="000000" w:themeColor="text1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787"/>
    <w:rPr>
      <w:rFonts w:ascii="Times New Roman" w:eastAsiaTheme="majorEastAsia" w:hAnsi="Times New Roman" w:cs="TH Sarabun New"/>
      <w:b/>
      <w:bCs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787"/>
    <w:rPr>
      <w:rFonts w:ascii="Times New Roman" w:eastAsiaTheme="majorEastAsia" w:hAnsi="Times New Roman" w:cs="TH Sarabun New"/>
      <w:b/>
      <w:color w:val="000000" w:themeColor="text1"/>
      <w:sz w:val="26"/>
      <w:szCs w:val="36"/>
    </w:rPr>
  </w:style>
  <w:style w:type="character" w:customStyle="1" w:styleId="text-format-content">
    <w:name w:val="text-format-content"/>
    <w:basedOn w:val="DefaultParagraphFont"/>
    <w:rsid w:val="00B07223"/>
  </w:style>
  <w:style w:type="character" w:customStyle="1" w:styleId="-ze-681">
    <w:name w:val="-ze-681"/>
    <w:basedOn w:val="DefaultParagraphFont"/>
    <w:rsid w:val="00B07223"/>
  </w:style>
  <w:style w:type="character" w:customStyle="1" w:styleId="-gc-766">
    <w:name w:val="-gc-766"/>
    <w:basedOn w:val="DefaultParagraphFont"/>
    <w:rsid w:val="00B07223"/>
  </w:style>
  <w:style w:type="table" w:styleId="TableGrid">
    <w:name w:val="Table Grid"/>
    <w:basedOn w:val="TableNormal"/>
    <w:uiPriority w:val="39"/>
    <w:rsid w:val="00B0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7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9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_</dc:creator>
  <cp:keywords/>
  <dc:description/>
  <cp:lastModifiedBy>Employee</cp:lastModifiedBy>
  <cp:revision>2</cp:revision>
  <dcterms:created xsi:type="dcterms:W3CDTF">2023-12-15T08:56:00Z</dcterms:created>
  <dcterms:modified xsi:type="dcterms:W3CDTF">2023-12-15T08:56:00Z</dcterms:modified>
</cp:coreProperties>
</file>